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Bestattungsgesetze Berlin (BE) und Brandenburg (BR)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Leiche</w:t>
      </w:r>
    </w:p>
    <w:p>
      <w:pPr>
        <w:pStyle w:val="Text"/>
        <w:bidi w:val="0"/>
      </w:pPr>
      <w:r>
        <w:rPr>
          <w:rtl w:val="0"/>
        </w:rPr>
        <w:t>Wann handelt es sich bei einem Toten im Sinne des Gesetzes um ein Leichnam?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Menschen, bei dem sichere Zeichen des Todes bestehen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Bei einem Geburtsgewicht von mind. 500 Gramm (BE), bzw.1000 Gramm (BR) (Totgeborenes)</w:t>
      </w:r>
    </w:p>
    <w:p>
      <w:pPr>
        <w:pStyle w:val="Text"/>
        <w:numPr>
          <w:ilvl w:val="1"/>
          <w:numId w:val="2"/>
        </w:numPr>
        <w:bidi w:val="0"/>
      </w:pPr>
      <w:r>
        <w:rPr>
          <w:rtl w:val="0"/>
        </w:rPr>
        <w:t>Babys die bei vollst</w:t>
      </w:r>
      <w:r>
        <w:rPr>
          <w:rtl w:val="0"/>
        </w:rPr>
        <w:t>ä</w:t>
      </w:r>
      <w:r>
        <w:rPr>
          <w:rtl w:val="0"/>
        </w:rPr>
        <w:t>ndigem Verlassen des Mutterleibs keine Lebenszeichen aufweisen und unter der Gewichtsgrenze von 500 bzw. 1000 Gramm liegen gelten nicht als Leiche im Sinne des Gesetzes (Fehlgeborene)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§ </w:t>
      </w:r>
      <w:r>
        <w:rPr>
          <w:rtl w:val="0"/>
        </w:rPr>
        <w:t xml:space="preserve">2 (BE) Ehrfurcht vor den Toten: </w:t>
      </w:r>
      <w:r>
        <w:rPr>
          <w:rtl w:val="0"/>
        </w:rPr>
        <w:t>„</w:t>
      </w:r>
      <w:r>
        <w:rPr>
          <w:rtl w:val="0"/>
        </w:rPr>
        <w:t>Wer mit Toten umgeht, hat dabei die gebotene Ehrfurcht vor dem toten Menschen zu wahren.</w:t>
      </w:r>
      <w:r>
        <w:rPr>
          <w:rtl w:val="0"/>
        </w:rPr>
        <w:t>“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Leichenschau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Reihenfolge der Verantwortlichen: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(BE) Ehegatte/Ehegattin, vollj</w:t>
      </w:r>
      <w:r>
        <w:rPr>
          <w:rtl w:val="0"/>
        </w:rPr>
        <w:t>ä</w:t>
      </w:r>
      <w:r>
        <w:rPr>
          <w:rtl w:val="0"/>
        </w:rPr>
        <w:t>hrige Kinder, Eltern, andere Verwandte, Personen mit der die Person in h</w:t>
      </w:r>
      <w:r>
        <w:rPr>
          <w:rtl w:val="0"/>
        </w:rPr>
        <w:t>ä</w:t>
      </w:r>
      <w:r>
        <w:rPr>
          <w:rtl w:val="0"/>
        </w:rPr>
        <w:t>uslicher Gemeinschaft gewohnt hat, Person in deren R</w:t>
      </w:r>
      <w:r>
        <w:rPr>
          <w:rtl w:val="0"/>
        </w:rPr>
        <w:t>ä</w:t>
      </w:r>
      <w:r>
        <w:rPr>
          <w:rtl w:val="0"/>
        </w:rPr>
        <w:t>ume oder auf deren Grundst</w:t>
      </w:r>
      <w:r>
        <w:rPr>
          <w:rtl w:val="0"/>
        </w:rPr>
        <w:t>ü</w:t>
      </w:r>
      <w:r>
        <w:rPr>
          <w:rtl w:val="0"/>
        </w:rPr>
        <w:t>ck sich der Sterbefall ereignet hat, jede Person, die bei dem Tod zugegen war oder davon Kenntnis hat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(BR) Person in h</w:t>
      </w:r>
      <w:r>
        <w:rPr>
          <w:rtl w:val="0"/>
        </w:rPr>
        <w:t>ä</w:t>
      </w:r>
      <w:r>
        <w:rPr>
          <w:rtl w:val="0"/>
        </w:rPr>
        <w:t xml:space="preserve">uslicher Gemeinschaft, </w:t>
      </w:r>
      <w:r>
        <w:rPr>
          <w:rtl w:val="0"/>
        </w:rPr>
        <w:t>Person in deren R</w:t>
      </w:r>
      <w:r>
        <w:rPr>
          <w:rtl w:val="0"/>
        </w:rPr>
        <w:t>ä</w:t>
      </w:r>
      <w:r>
        <w:rPr>
          <w:rtl w:val="0"/>
        </w:rPr>
        <w:t>ume oder auf deren Grundst</w:t>
      </w:r>
      <w:r>
        <w:rPr>
          <w:rtl w:val="0"/>
        </w:rPr>
        <w:t>ü</w:t>
      </w:r>
      <w:r>
        <w:rPr>
          <w:rtl w:val="0"/>
        </w:rPr>
        <w:t>ck sich der Sterbefall ereignet hat</w:t>
      </w:r>
      <w:r>
        <w:rPr>
          <w:rtl w:val="0"/>
        </w:rPr>
        <w:t>, jede Person, die eine Leiche findet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Bei einer Totgeburt (BE): Der eheliche Vater, Hebamme, </w:t>
      </w:r>
      <w:r>
        <w:rPr>
          <w:rtl w:val="0"/>
        </w:rPr>
        <w:t>Ä</w:t>
      </w:r>
      <w:r>
        <w:rPr>
          <w:rtl w:val="0"/>
        </w:rPr>
        <w:t>rztin, jede Person die bei der Geburt zugegen war oder davon Kenntnis hat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Bei Tod einer unbekannten Person (BE): ist Polizei zu informieren, die selbst die Leichenschau veranlasst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Zeitpunkt: </w:t>
      </w:r>
      <w:r>
        <w:rPr>
          <w:rtl w:val="0"/>
        </w:rPr>
        <w:t>Ä</w:t>
      </w:r>
      <w:r>
        <w:rPr>
          <w:rtl w:val="0"/>
        </w:rPr>
        <w:t>rztin/ Arzt hat die Leichenschau innerhalb von 12 Stunden nach der Aufforderung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Totenschein und Leichenpass</w:t>
      </w:r>
    </w:p>
    <w:p>
      <w:pPr>
        <w:pStyle w:val="Text"/>
        <w:bidi w:val="0"/>
      </w:pPr>
      <w:r>
        <w:rPr>
          <w:rtl w:val="0"/>
        </w:rPr>
        <w:t>- F</w:t>
      </w:r>
      <w:r>
        <w:rPr>
          <w:rtl w:val="0"/>
        </w:rPr>
        <w:t>ü</w:t>
      </w:r>
      <w:r>
        <w:rPr>
          <w:rtl w:val="0"/>
        </w:rPr>
        <w:t>r einen Leichenpass ist eine zweite Leichenschau n</w:t>
      </w:r>
      <w:r>
        <w:rPr>
          <w:rtl w:val="0"/>
        </w:rPr>
        <w:t>ö</w:t>
      </w:r>
      <w:r>
        <w:rPr>
          <w:rtl w:val="0"/>
        </w:rPr>
        <w:t>tig (BR)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Leichenwaschung und Totenf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hrsorge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Rituelle Waschungen von Leichen d</w:t>
      </w:r>
      <w:r>
        <w:rPr>
          <w:rtl w:val="0"/>
        </w:rPr>
        <w:t>ü</w:t>
      </w:r>
      <w:r>
        <w:rPr>
          <w:rtl w:val="0"/>
        </w:rPr>
        <w:t>rfen nur in den vom Bezirksamt hierf</w:t>
      </w:r>
      <w:r>
        <w:rPr>
          <w:rtl w:val="0"/>
        </w:rPr>
        <w:t>ü</w:t>
      </w:r>
      <w:r>
        <w:rPr>
          <w:rtl w:val="0"/>
        </w:rPr>
        <w:t>r als geeignet anerkannten R</w:t>
      </w:r>
      <w:r>
        <w:rPr>
          <w:rtl w:val="0"/>
        </w:rPr>
        <w:t>ä</w:t>
      </w:r>
      <w:r>
        <w:rPr>
          <w:rtl w:val="0"/>
        </w:rPr>
        <w:t>umen, in Leichenhallen oder religi</w:t>
      </w:r>
      <w:r>
        <w:rPr>
          <w:rtl w:val="0"/>
        </w:rPr>
        <w:t>ö</w:t>
      </w:r>
      <w:r>
        <w:rPr>
          <w:rtl w:val="0"/>
        </w:rPr>
        <w:t>sen Einrichtungen unter Einhaltung geeigneter hygienischer Schutzma</w:t>
      </w:r>
      <w:r>
        <w:rPr>
          <w:rtl w:val="0"/>
        </w:rPr>
        <w:t>ß</w:t>
      </w:r>
      <w:r>
        <w:rPr>
          <w:rtl w:val="0"/>
        </w:rPr>
        <w:t>nahmen durchgef</w:t>
      </w:r>
      <w:r>
        <w:rPr>
          <w:rtl w:val="0"/>
        </w:rPr>
        <w:t>ü</w:t>
      </w:r>
      <w:r>
        <w:rPr>
          <w:rtl w:val="0"/>
        </w:rPr>
        <w:t>hrt werden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berf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hrung: Aufbewahrung und Bef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rderung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Aufbewahrung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BE: Jede Leiche ist innerhalb von </w:t>
      </w:r>
      <w:r>
        <w:rPr>
          <w:rtl w:val="0"/>
        </w:rPr>
        <w:t>36</w:t>
      </w:r>
      <w:r>
        <w:rPr>
          <w:rtl w:val="0"/>
        </w:rPr>
        <w:t xml:space="preserve"> Stunden nach Eintritt des Todes, bei sp</w:t>
      </w:r>
      <w:r>
        <w:rPr>
          <w:rtl w:val="0"/>
        </w:rPr>
        <w:t>ä</w:t>
      </w:r>
      <w:r>
        <w:rPr>
          <w:rtl w:val="0"/>
        </w:rPr>
        <w:t>terem Auffinden unverz</w:t>
      </w:r>
      <w:r>
        <w:rPr>
          <w:rtl w:val="0"/>
        </w:rPr>
        <w:t>ü</w:t>
      </w:r>
      <w:r>
        <w:rPr>
          <w:rtl w:val="0"/>
        </w:rPr>
        <w:t xml:space="preserve">glich, in eine Leichenhalle zu </w:t>
      </w:r>
      <w:r>
        <w:rPr>
          <w:rtl w:val="0"/>
        </w:rPr>
        <w:t>ü</w:t>
      </w:r>
      <w:r>
        <w:rPr>
          <w:rtl w:val="0"/>
        </w:rPr>
        <w:t>berf</w:t>
      </w:r>
      <w:r>
        <w:rPr>
          <w:rtl w:val="0"/>
        </w:rPr>
        <w:t>ü</w:t>
      </w:r>
      <w:r>
        <w:rPr>
          <w:rtl w:val="0"/>
        </w:rPr>
        <w:t>hren.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BR: Jede Leiche ist innerhalb von 24 Stunden nach Eintritt des Todes, bei sp</w:t>
      </w:r>
      <w:r>
        <w:rPr>
          <w:rtl w:val="0"/>
        </w:rPr>
        <w:t>ä</w:t>
      </w:r>
      <w:r>
        <w:rPr>
          <w:rtl w:val="0"/>
        </w:rPr>
        <w:t>terem Auffinden unverz</w:t>
      </w:r>
      <w:r>
        <w:rPr>
          <w:rtl w:val="0"/>
        </w:rPr>
        <w:t>ü</w:t>
      </w:r>
      <w:r>
        <w:rPr>
          <w:rtl w:val="0"/>
        </w:rPr>
        <w:t xml:space="preserve">glich, in eine Leichenhalle zu </w:t>
      </w:r>
      <w:r>
        <w:rPr>
          <w:rtl w:val="0"/>
        </w:rPr>
        <w:t>ü</w:t>
      </w:r>
      <w:r>
        <w:rPr>
          <w:rtl w:val="0"/>
        </w:rPr>
        <w:t>berf</w:t>
      </w:r>
      <w:r>
        <w:rPr>
          <w:rtl w:val="0"/>
        </w:rPr>
        <w:t>ü</w:t>
      </w:r>
      <w:r>
        <w:rPr>
          <w:rtl w:val="0"/>
        </w:rPr>
        <w:t>hren.</w:t>
      </w:r>
    </w:p>
    <w:p>
      <w:pPr>
        <w:pStyle w:val="Text"/>
        <w:bidi w:val="0"/>
      </w:pPr>
      <w:r>
        <w:rPr>
          <w:rtl w:val="0"/>
        </w:rPr>
        <w:t>(Die untere Gesundheitsbeh</w:t>
      </w:r>
      <w:r>
        <w:rPr>
          <w:rtl w:val="0"/>
        </w:rPr>
        <w:t>ö</w:t>
      </w:r>
      <w:r>
        <w:rPr>
          <w:rtl w:val="0"/>
        </w:rPr>
        <w:t>rde kann im Einzelfall Ausnahmen zulassen)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Bef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rderung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BE/BR: Leichen sind nur von Fahrzeugen zu transportieren, die zu diesem Zweck eingerichtet sind und ausschlie</w:t>
      </w:r>
      <w:r>
        <w:rPr>
          <w:rtl w:val="0"/>
        </w:rPr>
        <w:t>ß</w:t>
      </w:r>
      <w:r>
        <w:rPr>
          <w:rtl w:val="0"/>
        </w:rPr>
        <w:t>lich dieser Verwendung dienen. Dies gilt nicht f</w:t>
      </w:r>
      <w:r>
        <w:rPr>
          <w:rtl w:val="0"/>
        </w:rPr>
        <w:t>ü</w:t>
      </w:r>
      <w:r>
        <w:rPr>
          <w:rtl w:val="0"/>
        </w:rPr>
        <w:t>r Bergungen von Leichen oder dem Transport von Unfallverungl</w:t>
      </w:r>
      <w:r>
        <w:rPr>
          <w:rtl w:val="0"/>
        </w:rPr>
        <w:t>ü</w:t>
      </w:r>
      <w:r>
        <w:rPr>
          <w:rtl w:val="0"/>
        </w:rPr>
        <w:t>ckten. Bef</w:t>
      </w:r>
      <w:r>
        <w:rPr>
          <w:rtl w:val="0"/>
        </w:rPr>
        <w:t>ö</w:t>
      </w:r>
      <w:r>
        <w:rPr>
          <w:rtl w:val="0"/>
        </w:rPr>
        <w:t>rderung in Anh</w:t>
      </w:r>
      <w:r>
        <w:rPr>
          <w:rtl w:val="0"/>
        </w:rPr>
        <w:t>ä</w:t>
      </w:r>
      <w:r>
        <w:rPr>
          <w:rtl w:val="0"/>
        </w:rPr>
        <w:t>ngern ist unzul</w:t>
      </w:r>
      <w:r>
        <w:rPr>
          <w:rtl w:val="0"/>
        </w:rPr>
        <w:t>ä</w:t>
      </w:r>
      <w:r>
        <w:rPr>
          <w:rtl w:val="0"/>
        </w:rPr>
        <w:t xml:space="preserve">ssig. Unterbrechungen bei der </w:t>
      </w:r>
      <w:r>
        <w:rPr>
          <w:rtl w:val="0"/>
        </w:rPr>
        <w:t>Ü</w:t>
      </w:r>
      <w:r>
        <w:rPr>
          <w:rtl w:val="0"/>
        </w:rPr>
        <w:t>berf</w:t>
      </w:r>
      <w:r>
        <w:rPr>
          <w:rtl w:val="0"/>
        </w:rPr>
        <w:t>ü</w:t>
      </w:r>
      <w:r>
        <w:rPr>
          <w:rtl w:val="0"/>
        </w:rPr>
        <w:t>hrung sind zu vermeiden (Beh</w:t>
      </w:r>
      <w:r>
        <w:rPr>
          <w:rtl w:val="0"/>
        </w:rPr>
        <w:t>ö</w:t>
      </w:r>
      <w:r>
        <w:rPr>
          <w:rtl w:val="0"/>
        </w:rPr>
        <w:t>rde kann Ausnahmen zulassen)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berf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hrung ins und aus dem Geltungsbereich Deutschland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BE/BR: Von einem Ort au</w:t>
      </w:r>
      <w:r>
        <w:rPr>
          <w:rtl w:val="0"/>
        </w:rPr>
        <w:t>ß</w:t>
      </w:r>
      <w:r>
        <w:rPr>
          <w:rtl w:val="0"/>
        </w:rPr>
        <w:t>erhalb der Bundesrepublik Deutschland d</w:t>
      </w:r>
      <w:r>
        <w:rPr>
          <w:rtl w:val="0"/>
        </w:rPr>
        <w:t>ü</w:t>
      </w:r>
      <w:r>
        <w:rPr>
          <w:rtl w:val="0"/>
        </w:rPr>
        <w:t xml:space="preserve">rfen Leichen nur dann nach Berlin/Brandenburg </w:t>
      </w:r>
      <w:r>
        <w:rPr>
          <w:rtl w:val="0"/>
        </w:rPr>
        <w:t>ü</w:t>
      </w:r>
      <w:r>
        <w:rPr>
          <w:rtl w:val="0"/>
        </w:rPr>
        <w:t>berf</w:t>
      </w:r>
      <w:r>
        <w:rPr>
          <w:rtl w:val="0"/>
        </w:rPr>
        <w:t>ü</w:t>
      </w:r>
      <w:r>
        <w:rPr>
          <w:rtl w:val="0"/>
        </w:rPr>
        <w:t xml:space="preserve">hrt werden, wenn aus dem Leichenpass (oder amtlichen Bescheinigung) hervor geht, ob die Person an </w:t>
      </w:r>
      <w:r>
        <w:rPr>
          <w:rtl w:val="0"/>
        </w:rPr>
        <w:t>ü</w:t>
      </w:r>
      <w:r>
        <w:rPr>
          <w:rtl w:val="0"/>
        </w:rPr>
        <w:t>bertragbaren Krankheiten gelitten hat.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BE/BR: </w:t>
      </w:r>
      <w:r>
        <w:rPr>
          <w:rtl w:val="0"/>
        </w:rPr>
        <w:t>Ü</w:t>
      </w:r>
      <w:r>
        <w:rPr>
          <w:rtl w:val="0"/>
        </w:rPr>
        <w:t>berf</w:t>
      </w:r>
      <w:r>
        <w:rPr>
          <w:rtl w:val="0"/>
        </w:rPr>
        <w:t>ü</w:t>
      </w:r>
      <w:r>
        <w:rPr>
          <w:rtl w:val="0"/>
        </w:rPr>
        <w:t>hrung einer Leiche aus dem Geltungsbereich der Bundesrepublik Deutschland ist nur mit g</w:t>
      </w:r>
      <w:r>
        <w:rPr>
          <w:rtl w:val="0"/>
        </w:rPr>
        <w:t>ü</w:t>
      </w:r>
      <w:r>
        <w:rPr>
          <w:rtl w:val="0"/>
        </w:rPr>
        <w:t>ltigem Leichenpass zul</w:t>
      </w:r>
      <w:r>
        <w:rPr>
          <w:rtl w:val="0"/>
        </w:rPr>
        <w:t>ä</w:t>
      </w:r>
      <w:r>
        <w:rPr>
          <w:rtl w:val="0"/>
        </w:rPr>
        <w:t>ssig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Aufbarung von Leichen/ </w:t>
      </w:r>
      <w:r>
        <w:rPr>
          <w:rtl w:val="0"/>
        </w:rPr>
        <w:t>ö</w:t>
      </w:r>
      <w:r>
        <w:rPr>
          <w:rtl w:val="0"/>
        </w:rPr>
        <w:t>ffentliches Ausstellen (BE)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Leichen k</w:t>
      </w:r>
      <w:r>
        <w:rPr>
          <w:rtl w:val="0"/>
        </w:rPr>
        <w:t>ö</w:t>
      </w:r>
      <w:r>
        <w:rPr>
          <w:rtl w:val="0"/>
        </w:rPr>
        <w:t>nnen vor der Bestattung</w:t>
      </w:r>
      <w:r>
        <w:rPr>
          <w:u w:val="single"/>
          <w:rtl w:val="0"/>
          <w:lang w:val="de-DE"/>
        </w:rPr>
        <w:t xml:space="preserve"> im geschlossenen </w:t>
      </w:r>
      <w:r>
        <w:rPr>
          <w:b w:val="1"/>
          <w:bCs w:val="1"/>
          <w:u w:val="single"/>
          <w:rtl w:val="0"/>
          <w:lang w:val="de-DE"/>
        </w:rPr>
        <w:t>(?)</w:t>
      </w:r>
      <w:r>
        <w:rPr>
          <w:u w:val="single"/>
          <w:rtl w:val="0"/>
          <w:lang w:val="de-DE"/>
        </w:rPr>
        <w:t xml:space="preserve"> Sarg aufgebahrt</w:t>
      </w:r>
      <w:r>
        <w:rPr>
          <w:rtl w:val="0"/>
        </w:rPr>
        <w:t xml:space="preserve"> werden (Ort muss daf</w:t>
      </w:r>
      <w:r>
        <w:rPr>
          <w:rtl w:val="0"/>
        </w:rPr>
        <w:t>ü</w:t>
      </w:r>
      <w:r>
        <w:rPr>
          <w:rtl w:val="0"/>
        </w:rPr>
        <w:t xml:space="preserve">r anerkannt sein) </w:t>
      </w:r>
      <w:r>
        <w:rPr>
          <w:b w:val="1"/>
          <w:bCs w:val="1"/>
          <w:rtl w:val="0"/>
          <w:lang w:val="de-DE"/>
        </w:rPr>
        <w:t>(?)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Aufbahrung ist auch </w:t>
      </w:r>
      <w:r>
        <w:rPr>
          <w:rtl w:val="0"/>
        </w:rPr>
        <w:t>ü</w:t>
      </w:r>
      <w:r>
        <w:rPr>
          <w:rtl w:val="0"/>
        </w:rPr>
        <w:t xml:space="preserve">ber den in </w:t>
      </w:r>
      <w:r>
        <w:rPr>
          <w:rtl w:val="0"/>
        </w:rPr>
        <w:t>§</w:t>
      </w:r>
      <w:r>
        <w:rPr>
          <w:rtl w:val="0"/>
        </w:rPr>
        <w:t>9 Abs.1 genannten Zeitraum hinaus zul</w:t>
      </w:r>
      <w:r>
        <w:rPr>
          <w:rtl w:val="0"/>
        </w:rPr>
        <w:t>ä</w:t>
      </w:r>
      <w:r>
        <w:rPr>
          <w:rtl w:val="0"/>
        </w:rPr>
        <w:t>ssig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Leichen d</w:t>
      </w:r>
      <w:r>
        <w:rPr>
          <w:rtl w:val="0"/>
        </w:rPr>
        <w:t>ü</w:t>
      </w:r>
      <w:r>
        <w:rPr>
          <w:rtl w:val="0"/>
        </w:rPr>
        <w:t xml:space="preserve">rfen nicht </w:t>
      </w:r>
      <w:r>
        <w:rPr>
          <w:rtl w:val="0"/>
        </w:rPr>
        <w:t>ö</w:t>
      </w:r>
      <w:r>
        <w:rPr>
          <w:rtl w:val="0"/>
        </w:rPr>
        <w:t xml:space="preserve">ffentlich ausgestellt werden. Das </w:t>
      </w:r>
      <w:r>
        <w:rPr>
          <w:u w:val="single"/>
          <w:rtl w:val="0"/>
          <w:lang w:val="de-DE"/>
        </w:rPr>
        <w:t>Ö</w:t>
      </w:r>
      <w:r>
        <w:rPr>
          <w:u w:val="single"/>
          <w:rtl w:val="0"/>
          <w:lang w:val="de-DE"/>
        </w:rPr>
        <w:t>ffnen oder Offenlassen des Sarges w</w:t>
      </w:r>
      <w:r>
        <w:rPr>
          <w:u w:val="single"/>
          <w:rtl w:val="0"/>
          <w:lang w:val="de-DE"/>
        </w:rPr>
        <w:t>ä</w:t>
      </w:r>
      <w:r>
        <w:rPr>
          <w:u w:val="single"/>
          <w:rtl w:val="0"/>
          <w:lang w:val="de-DE"/>
        </w:rPr>
        <w:t>hrend der Bestattungsfeierlichkeiten ist verboten</w:t>
      </w:r>
      <w:r>
        <w:rPr>
          <w:rtl w:val="0"/>
        </w:rPr>
        <w:t>. (Bez)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Bestattungspflicht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BE/BR: Jede Leiche muss bestattet werden</w:t>
      </w:r>
    </w:p>
    <w:p>
      <w:pPr>
        <w:pStyle w:val="Text"/>
        <w:numPr>
          <w:ilvl w:val="1"/>
          <w:numId w:val="2"/>
        </w:numPr>
        <w:bidi w:val="0"/>
      </w:pPr>
      <w:r>
        <w:rPr>
          <w:rtl w:val="0"/>
        </w:rPr>
        <w:t>BE 1000/ BR 500: gilt nicht f</w:t>
      </w:r>
      <w:r>
        <w:rPr>
          <w:rtl w:val="0"/>
        </w:rPr>
        <w:t>ü</w:t>
      </w:r>
      <w:r>
        <w:rPr>
          <w:rtl w:val="0"/>
        </w:rPr>
        <w:t>r Totgeborene unter (</w:t>
      </w:r>
      <w:r>
        <w:rPr>
          <w:rtl w:val="0"/>
        </w:rPr>
        <w:t>…</w:t>
      </w:r>
      <w:r>
        <w:rPr>
          <w:rtl w:val="0"/>
        </w:rPr>
        <w:t>) Gramm. Totgeborene, Fehlgeborene, Embryonen und F</w:t>
      </w:r>
      <w:r>
        <w:rPr>
          <w:rtl w:val="0"/>
        </w:rPr>
        <w:t>ö</w:t>
      </w:r>
      <w:r>
        <w:rPr>
          <w:rtl w:val="0"/>
        </w:rPr>
        <w:t>ten aus Schwangerschaftsabbr</w:t>
      </w:r>
      <w:r>
        <w:rPr>
          <w:rtl w:val="0"/>
        </w:rPr>
        <w:t>ü</w:t>
      </w:r>
      <w:r>
        <w:rPr>
          <w:rtl w:val="0"/>
        </w:rPr>
        <w:t>chen sind auf Wunsch eines Elternteils zu bestatten. Einrichtung wo der Abbruch erfolgt haben die Angeh</w:t>
      </w:r>
      <w:r>
        <w:rPr>
          <w:rtl w:val="0"/>
        </w:rPr>
        <w:t>ö</w:t>
      </w:r>
      <w:r>
        <w:rPr>
          <w:rtl w:val="0"/>
        </w:rPr>
        <w:t>rigen auf Bestattungsm</w:t>
      </w:r>
      <w:r>
        <w:rPr>
          <w:rtl w:val="0"/>
        </w:rPr>
        <w:t>ö</w:t>
      </w:r>
      <w:r>
        <w:rPr>
          <w:rtl w:val="0"/>
        </w:rPr>
        <w:t>glichkeit hinzuweisen.</w:t>
      </w:r>
    </w:p>
    <w:p>
      <w:pPr>
        <w:pStyle w:val="Text"/>
        <w:numPr>
          <w:ilvl w:val="1"/>
          <w:numId w:val="2"/>
        </w:numPr>
        <w:bidi w:val="0"/>
      </w:pPr>
      <w:r>
        <w:rPr>
          <w:rtl w:val="0"/>
        </w:rPr>
        <w:t xml:space="preserve">Werden </w:t>
      </w:r>
      <w:r>
        <w:rPr>
          <w:rtl w:val="0"/>
        </w:rPr>
        <w:t>Totgeborene, Fehlgeborene, Embryonen und F</w:t>
      </w:r>
      <w:r>
        <w:rPr>
          <w:rtl w:val="0"/>
          <w:lang w:val="sv-SE"/>
        </w:rPr>
        <w:t>ö</w:t>
      </w:r>
      <w:r>
        <w:rPr>
          <w:rtl w:val="0"/>
        </w:rPr>
        <w:t>ten aus Schwangerschaftsabbr</w:t>
      </w:r>
      <w:r>
        <w:rPr>
          <w:rtl w:val="0"/>
        </w:rPr>
        <w:t>ü</w:t>
      </w:r>
      <w:r>
        <w:rPr>
          <w:rtl w:val="0"/>
        </w:rPr>
        <w:t>chen</w:t>
      </w:r>
      <w:r>
        <w:rPr>
          <w:rtl w:val="0"/>
        </w:rPr>
        <w:t xml:space="preserve"> nicht bestattet, sind sind sie von der verantwortlichen Einrichtung entsprechend (</w:t>
      </w:r>
      <w:r>
        <w:rPr>
          <w:rtl w:val="0"/>
        </w:rPr>
        <w:t>…</w:t>
      </w:r>
      <w:r>
        <w:rPr>
          <w:rtl w:val="0"/>
        </w:rPr>
        <w:t>) zu beseitigen.</w:t>
      </w:r>
    </w:p>
    <w:p>
      <w:pPr>
        <w:pStyle w:val="Text"/>
        <w:numPr>
          <w:ilvl w:val="1"/>
          <w:numId w:val="2"/>
        </w:numPr>
        <w:bidi w:val="0"/>
      </w:pPr>
      <w:r>
        <w:rPr>
          <w:rtl w:val="0"/>
        </w:rPr>
        <w:t>BR: Erdbestattung oder Ein</w:t>
      </w:r>
      <w:r>
        <w:rPr>
          <w:rtl w:val="0"/>
        </w:rPr>
        <w:t>ä</w:t>
      </w:r>
      <w:r>
        <w:rPr>
          <w:rtl w:val="0"/>
        </w:rPr>
        <w:t xml:space="preserve">scherung ist </w:t>
      </w:r>
      <w:r>
        <w:rPr>
          <w:u w:val="single"/>
          <w:rtl w:val="0"/>
          <w:lang w:val="de-DE"/>
        </w:rPr>
        <w:t>innerhalb von 10 Tagen nach Feststellung des Todes</w:t>
      </w:r>
      <w:r>
        <w:rPr>
          <w:rtl w:val="0"/>
        </w:rPr>
        <w:t xml:space="preserve"> durchzuf</w:t>
      </w:r>
      <w:r>
        <w:rPr>
          <w:rtl w:val="0"/>
        </w:rPr>
        <w:t>ü</w:t>
      </w:r>
      <w:r>
        <w:rPr>
          <w:rtl w:val="0"/>
        </w:rPr>
        <w:t>hren (Frist kann im Einzelfall verl</w:t>
      </w:r>
      <w:r>
        <w:rPr>
          <w:rtl w:val="0"/>
        </w:rPr>
        <w:t>ä</w:t>
      </w:r>
      <w:r>
        <w:rPr>
          <w:rtl w:val="0"/>
        </w:rPr>
        <w:t>ngert oder verk</w:t>
      </w:r>
      <w:r>
        <w:rPr>
          <w:rtl w:val="0"/>
        </w:rPr>
        <w:t>ü</w:t>
      </w:r>
      <w:r>
        <w:rPr>
          <w:rtl w:val="0"/>
        </w:rPr>
        <w:t>rzt werden)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Bestattungspflichtige Personen (BE/BR)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BE: Ehegattin Ehegatte, Vollj</w:t>
      </w:r>
      <w:r>
        <w:rPr>
          <w:rtl w:val="0"/>
        </w:rPr>
        <w:t>ä</w:t>
      </w:r>
      <w:r>
        <w:rPr>
          <w:rtl w:val="0"/>
        </w:rPr>
        <w:t>hrige Kinder, Eltern, Vollj</w:t>
      </w:r>
      <w:r>
        <w:rPr>
          <w:rtl w:val="0"/>
        </w:rPr>
        <w:t>ä</w:t>
      </w:r>
      <w:r>
        <w:rPr>
          <w:rtl w:val="0"/>
        </w:rPr>
        <w:t>hrige Geschwister, vollj</w:t>
      </w:r>
      <w:r>
        <w:rPr>
          <w:rtl w:val="0"/>
        </w:rPr>
        <w:t>ä</w:t>
      </w:r>
      <w:r>
        <w:rPr>
          <w:rtl w:val="0"/>
        </w:rPr>
        <w:t>hrige Enkelkinder, Gro</w:t>
      </w:r>
      <w:r>
        <w:rPr>
          <w:rtl w:val="0"/>
        </w:rPr>
        <w:t>ß</w:t>
      </w:r>
      <w:r>
        <w:rPr>
          <w:rtl w:val="0"/>
        </w:rPr>
        <w:t>eltern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BR: </w:t>
      </w:r>
      <w:r>
        <w:rPr>
          <w:rtl w:val="0"/>
        </w:rPr>
        <w:t>Ehegattin Ehegatte</w:t>
      </w:r>
      <w:r>
        <w:rPr>
          <w:rtl w:val="0"/>
        </w:rPr>
        <w:t xml:space="preserve"> oder eingetragene Lebenspartner*innen</w:t>
      </w:r>
      <w:r>
        <w:rPr>
          <w:rtl w:val="0"/>
        </w:rPr>
        <w:t>, Kinder, Eltern, Geschwister, Enkelkinder, Gro</w:t>
      </w:r>
      <w:r>
        <w:rPr>
          <w:rtl w:val="0"/>
        </w:rPr>
        <w:t>ß</w:t>
      </w:r>
      <w:r>
        <w:rPr>
          <w:rtl w:val="0"/>
        </w:rPr>
        <w:t>eltern</w:t>
      </w:r>
      <w:r>
        <w:rPr>
          <w:rtl w:val="0"/>
        </w:rPr>
        <w:t>, die Person, mit der die verstorbene Person in einer auf Dauer angelegten nicht ehelichen Lebensgemeinschaft gelebt hat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Zeitpunkt der Bestattung (BE)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BE: Asche einer verstorbenen Person ist innerhalb von sechs Monaten nach der Ein</w:t>
      </w:r>
      <w:r>
        <w:rPr>
          <w:rtl w:val="0"/>
        </w:rPr>
        <w:t>ä</w:t>
      </w:r>
      <w:r>
        <w:rPr>
          <w:rtl w:val="0"/>
        </w:rPr>
        <w:t>scherung beizusetzen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Infektionsschutzgesetz kann sich auf Frist auswirken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Bestattungsunterlagen (BE/BR)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BE: Bestattung darf vollzogen werden, wenn die vorgeschriebenen Bestattungs- und Bef</w:t>
      </w:r>
      <w:r>
        <w:rPr>
          <w:rtl w:val="0"/>
        </w:rPr>
        <w:t>ö</w:t>
      </w:r>
      <w:r>
        <w:rPr>
          <w:rtl w:val="0"/>
        </w:rPr>
        <w:t>rderungsunterlagen vorliegen. Bei Ein</w:t>
      </w:r>
      <w:r>
        <w:rPr>
          <w:rtl w:val="0"/>
        </w:rPr>
        <w:t>ä</w:t>
      </w:r>
      <w:r>
        <w:rPr>
          <w:rtl w:val="0"/>
        </w:rPr>
        <w:t>scherung zus</w:t>
      </w:r>
      <w:r>
        <w:rPr>
          <w:rtl w:val="0"/>
        </w:rPr>
        <w:t>ä</w:t>
      </w:r>
      <w:r>
        <w:rPr>
          <w:rtl w:val="0"/>
        </w:rPr>
        <w:t>tzlich die Bescheinigung der zweiten Leichenschau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BE/BR: Bei Fehlgeborenen (</w:t>
      </w:r>
      <w:r>
        <w:rPr>
          <w:rtl w:val="0"/>
        </w:rPr>
        <w:t>…</w:t>
      </w:r>
      <w:r>
        <w:rPr>
          <w:rtl w:val="0"/>
        </w:rPr>
        <w:t xml:space="preserve">) ist </w:t>
      </w:r>
      <w:r>
        <w:rPr>
          <w:rtl w:val="0"/>
        </w:rPr>
        <w:t>ä</w:t>
      </w:r>
      <w:r>
        <w:rPr>
          <w:rtl w:val="0"/>
        </w:rPr>
        <w:t>rztliche Bescheinigung, die Datum und Umstand der Fehlgeburt, sowie Name und Anschrift der Mutter beinhaltet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Vorraussetzungen der Bestattung (BR)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Eintritt des Todes mind. 48 Stunden her, Leichenschau wurde vollzogen, Sterbefall wurde beim zust</w:t>
      </w:r>
      <w:r>
        <w:rPr>
          <w:rtl w:val="0"/>
        </w:rPr>
        <w:t>ä</w:t>
      </w:r>
      <w:r>
        <w:rPr>
          <w:rtl w:val="0"/>
        </w:rPr>
        <w:t>ndigen Standesamt beurkundet (oder Beurkundung wurde zur</w:t>
      </w:r>
      <w:r>
        <w:rPr>
          <w:rtl w:val="0"/>
        </w:rPr>
        <w:t>ü</w:t>
      </w:r>
      <w:r>
        <w:rPr>
          <w:rtl w:val="0"/>
        </w:rPr>
        <w:t>ckgestellt?). Bei Totgeburten ist Beurkundung der Geburt oder Zur</w:t>
      </w:r>
      <w:r>
        <w:rPr>
          <w:rtl w:val="0"/>
        </w:rPr>
        <w:t>ü</w:t>
      </w:r>
      <w:r>
        <w:rPr>
          <w:rtl w:val="0"/>
        </w:rPr>
        <w:t>ckstellung der Beurkundung der Geburt durch standesamtliche Bescheinigung nachzuweisen (Ausnahmen bei der Frist vor allem aus religi</w:t>
      </w:r>
      <w:r>
        <w:rPr>
          <w:rtl w:val="0"/>
        </w:rPr>
        <w:t>ö</w:t>
      </w:r>
      <w:r>
        <w:rPr>
          <w:rtl w:val="0"/>
        </w:rPr>
        <w:t>sen gr</w:t>
      </w:r>
      <w:r>
        <w:rPr>
          <w:rtl w:val="0"/>
        </w:rPr>
        <w:t>ü</w:t>
      </w:r>
      <w:r>
        <w:rPr>
          <w:rtl w:val="0"/>
        </w:rPr>
        <w:t>nden durch Gesundheitsbeh</w:t>
      </w:r>
      <w:r>
        <w:rPr>
          <w:rtl w:val="0"/>
        </w:rPr>
        <w:t>ö</w:t>
      </w:r>
      <w:r>
        <w:rPr>
          <w:rtl w:val="0"/>
        </w:rPr>
        <w:t>rde m</w:t>
      </w:r>
      <w:r>
        <w:rPr>
          <w:rtl w:val="0"/>
        </w:rPr>
        <w:t>ö</w:t>
      </w:r>
      <w:r>
        <w:rPr>
          <w:rtl w:val="0"/>
        </w:rPr>
        <w:t>glich)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Ausgrabung von Leichen (BE)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BE: nur mit Erlaubnis des Bezirksamt. Erlaubnis kann unter Bedingungen, die dem Schutz der Gesundheit dienen erteilt werde. Ausnahme: Gericht oder Polizei veranlasst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Ein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scherung (BR)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 xml:space="preserve">Zweite Leichenschau ist obligatorisch, muss von Arzt oder </w:t>
      </w:r>
      <w:r>
        <w:rPr>
          <w:rtl w:val="0"/>
        </w:rPr>
        <w:t>Ä</w:t>
      </w:r>
      <w:r>
        <w:rPr>
          <w:rtl w:val="0"/>
        </w:rPr>
        <w:t>rztin durchgef</w:t>
      </w:r>
      <w:r>
        <w:rPr>
          <w:rtl w:val="0"/>
        </w:rPr>
        <w:t>ü</w:t>
      </w:r>
      <w:r>
        <w:rPr>
          <w:rtl w:val="0"/>
        </w:rPr>
        <w:t>hrt werden, muss dokumentiert werden, (BR/BE?) Dokumente sind vom Krematorium f</w:t>
      </w:r>
      <w:r>
        <w:rPr>
          <w:rtl w:val="0"/>
        </w:rPr>
        <w:t>ü</w:t>
      </w:r>
      <w:r>
        <w:rPr>
          <w:rtl w:val="0"/>
        </w:rPr>
        <w:t>r 20 Jahre aufzubewahren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Leichen und bestattungspflichtige K</w:t>
      </w:r>
      <w:r>
        <w:rPr>
          <w:rtl w:val="0"/>
        </w:rPr>
        <w:t>ö</w:t>
      </w:r>
      <w:r>
        <w:rPr>
          <w:rtl w:val="0"/>
        </w:rPr>
        <w:t>rperteile d</w:t>
      </w:r>
      <w:r>
        <w:rPr>
          <w:rtl w:val="0"/>
        </w:rPr>
        <w:t>ü</w:t>
      </w:r>
      <w:r>
        <w:rPr>
          <w:rtl w:val="0"/>
        </w:rPr>
        <w:t>rfen nur in genehmigten Feuerbestattungsanlagen einge</w:t>
      </w:r>
      <w:r>
        <w:rPr>
          <w:rtl w:val="0"/>
        </w:rPr>
        <w:t>ä</w:t>
      </w:r>
      <w:r>
        <w:rPr>
          <w:rtl w:val="0"/>
        </w:rPr>
        <w:t>schert werden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Ein</w:t>
      </w:r>
      <w:r>
        <w:rPr>
          <w:rtl w:val="0"/>
        </w:rPr>
        <w:t>ä</w:t>
      </w:r>
      <w:r>
        <w:rPr>
          <w:rtl w:val="0"/>
        </w:rPr>
        <w:t>scherung darf nur in einem hierf</w:t>
      </w:r>
      <w:r>
        <w:rPr>
          <w:rtl w:val="0"/>
        </w:rPr>
        <w:t>ü</w:t>
      </w:r>
      <w:r>
        <w:rPr>
          <w:rtl w:val="0"/>
        </w:rPr>
        <w:t>r geeigneten umweltvertr</w:t>
      </w:r>
      <w:r>
        <w:rPr>
          <w:rtl w:val="0"/>
        </w:rPr>
        <w:t>ä</w:t>
      </w:r>
      <w:r>
        <w:rPr>
          <w:rtl w:val="0"/>
        </w:rPr>
        <w:t>glichen Sarg erfolgen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Asche ist vollst</w:t>
      </w:r>
      <w:r>
        <w:rPr>
          <w:rtl w:val="0"/>
        </w:rPr>
        <w:t>ä</w:t>
      </w:r>
      <w:r>
        <w:rPr>
          <w:rtl w:val="0"/>
        </w:rPr>
        <w:t>ndig in eine Urne aufzunehmen (gilt nicht f</w:t>
      </w:r>
      <w:r>
        <w:rPr>
          <w:rtl w:val="0"/>
        </w:rPr>
        <w:t>ü</w:t>
      </w:r>
      <w:r>
        <w:rPr>
          <w:rtl w:val="0"/>
        </w:rPr>
        <w:t>r metallische Gegenst</w:t>
      </w:r>
      <w:r>
        <w:rPr>
          <w:rtl w:val="0"/>
        </w:rPr>
        <w:t>ä</w:t>
      </w:r>
      <w:r>
        <w:rPr>
          <w:rtl w:val="0"/>
        </w:rPr>
        <w:t>nde oder sonstige Verbrennungsr</w:t>
      </w:r>
      <w:r>
        <w:rPr>
          <w:rtl w:val="0"/>
        </w:rPr>
        <w:t>ü</w:t>
      </w:r>
      <w:r>
        <w:rPr>
          <w:rtl w:val="0"/>
        </w:rPr>
        <w:t>ckst</w:t>
      </w:r>
      <w:r>
        <w:rPr>
          <w:rtl w:val="0"/>
        </w:rPr>
        <w:t>ä</w:t>
      </w:r>
      <w:r>
        <w:rPr>
          <w:rtl w:val="0"/>
        </w:rPr>
        <w:t>nde)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Urne ist zu kennzeichnen und zu verschlie</w:t>
      </w:r>
      <w:r>
        <w:rPr>
          <w:rtl w:val="0"/>
        </w:rPr>
        <w:t>ß</w:t>
      </w:r>
      <w:r>
        <w:rPr>
          <w:rtl w:val="0"/>
        </w:rPr>
        <w:t>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Ü</w:t>
      </w:r>
      <w:r>
        <w:rPr>
          <w:rtl w:val="0"/>
        </w:rPr>
        <w:t>ber Ein</w:t>
      </w:r>
      <w:r>
        <w:rPr>
          <w:rtl w:val="0"/>
        </w:rPr>
        <w:t>ä</w:t>
      </w:r>
      <w:r>
        <w:rPr>
          <w:rtl w:val="0"/>
        </w:rPr>
        <w:t>scherung und Verbleib der Asche hat die Feuerebestattungsanlage ein Verzeichnis zu f</w:t>
      </w:r>
      <w:r>
        <w:rPr>
          <w:rtl w:val="0"/>
        </w:rPr>
        <w:t>ü</w:t>
      </w:r>
      <w:r>
        <w:rPr>
          <w:rtl w:val="0"/>
        </w:rPr>
        <w:t>hren (Ein</w:t>
      </w:r>
      <w:r>
        <w:rPr>
          <w:rtl w:val="0"/>
        </w:rPr>
        <w:t>ä</w:t>
      </w:r>
      <w:r>
        <w:rPr>
          <w:rtl w:val="0"/>
        </w:rPr>
        <w:t>scherungsverzeichnis), das 20 Jahr aufzubewahren ist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Urne darf nur zur Beisetzung ausgeh</w:t>
      </w:r>
      <w:r>
        <w:rPr>
          <w:rtl w:val="0"/>
        </w:rPr>
        <w:t>ä</w:t>
      </w:r>
      <w:r>
        <w:rPr>
          <w:rtl w:val="0"/>
        </w:rPr>
        <w:t>ndigt werden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</w:t>
      </w:r>
      <w:r>
        <w:rPr>
          <w:rtl w:val="0"/>
        </w:rPr>
        <w:t>…</w:t>
      </w:r>
      <w:r>
        <w:rPr>
          <w:rtl w:val="0"/>
        </w:rPr>
        <w:t>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  <w:lang w:val="de-DE"/>
        </w:rPr>
        <w:t>Ruhezeit (BR</w:t>
      </w:r>
      <w:r>
        <w:rPr>
          <w:rtl w:val="0"/>
        </w:rPr>
        <w:t>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betr</w:t>
      </w:r>
      <w:r>
        <w:rPr>
          <w:rtl w:val="0"/>
        </w:rPr>
        <w:t>ä</w:t>
      </w:r>
      <w:r>
        <w:rPr>
          <w:rtl w:val="0"/>
        </w:rPr>
        <w:t>gt mind. 20 Jahre (Erd), mind. 15 Jahre (Feuer)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Ein Grab darf nur neu belegt werden, wenn die Ruhezeit abgelaufen ist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Kann l</w:t>
      </w:r>
      <w:r>
        <w:rPr>
          <w:rtl w:val="0"/>
        </w:rPr>
        <w:t>ä</w:t>
      </w:r>
      <w:r>
        <w:rPr>
          <w:rtl w:val="0"/>
        </w:rPr>
        <w:t>ngere Ruhezeiten bestimmen und aus religi</w:t>
      </w:r>
      <w:r>
        <w:rPr>
          <w:rtl w:val="0"/>
        </w:rPr>
        <w:t>ö</w:t>
      </w:r>
      <w:r>
        <w:rPr>
          <w:rtl w:val="0"/>
        </w:rPr>
        <w:t>sen Gr</w:t>
      </w:r>
      <w:r>
        <w:rPr>
          <w:rtl w:val="0"/>
        </w:rPr>
        <w:t>ü</w:t>
      </w:r>
      <w:r>
        <w:rPr>
          <w:rtl w:val="0"/>
        </w:rPr>
        <w:t>nden auf Dauer festlegen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Ausgrabung, Umbetten (BR)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Ruhe der Toten darf grunds</w:t>
      </w:r>
      <w:r>
        <w:rPr>
          <w:rtl w:val="0"/>
        </w:rPr>
        <w:t>ä</w:t>
      </w:r>
      <w:r>
        <w:rPr>
          <w:rtl w:val="0"/>
        </w:rPr>
        <w:t>tzlich nicht gest</w:t>
      </w:r>
      <w:r>
        <w:rPr>
          <w:rtl w:val="0"/>
        </w:rPr>
        <w:t>ö</w:t>
      </w:r>
      <w:r>
        <w:rPr>
          <w:rtl w:val="0"/>
        </w:rPr>
        <w:t>rt werden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Umbetten vor Ablauf der Ruhezeit, dar nur zugelassen werden, wenn daf</w:t>
      </w:r>
      <w:r>
        <w:rPr>
          <w:rtl w:val="0"/>
        </w:rPr>
        <w:t>ü</w:t>
      </w:r>
      <w:r>
        <w:rPr>
          <w:rtl w:val="0"/>
        </w:rPr>
        <w:t>r wichtige Gr</w:t>
      </w:r>
      <w:r>
        <w:rPr>
          <w:rtl w:val="0"/>
        </w:rPr>
        <w:t>ü</w:t>
      </w:r>
      <w:r>
        <w:rPr>
          <w:rtl w:val="0"/>
        </w:rPr>
        <w:t>nde vorliegen, die die St</w:t>
      </w:r>
      <w:r>
        <w:rPr>
          <w:rtl w:val="0"/>
        </w:rPr>
        <w:t>ö</w:t>
      </w:r>
      <w:r>
        <w:rPr>
          <w:rtl w:val="0"/>
        </w:rPr>
        <w:t>rung der Totenruhe rechtfertigt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Umbetten von Leichen im Zeitraum von zwei Wochen bis sechs Monaten nach der Beisetzung sind unzul</w:t>
      </w:r>
      <w:r>
        <w:rPr>
          <w:rtl w:val="0"/>
        </w:rPr>
        <w:t>ä</w:t>
      </w:r>
      <w:r>
        <w:rPr>
          <w:rtl w:val="0"/>
        </w:rPr>
        <w:t>ssig (sofern nicht richterlich angeordnet)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Mit der Umbetten beginnt keine neue Ruhezeit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Verordnung zur Durchf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hrung des Bestattungsgesetz (Berlin)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Beschaffenheit der S</w:t>
      </w:r>
      <w:r>
        <w:rPr>
          <w:rtl w:val="0"/>
        </w:rPr>
        <w:t>ä</w:t>
      </w:r>
      <w:r>
        <w:rPr>
          <w:rtl w:val="0"/>
        </w:rPr>
        <w:t>rge bei Erdbestattung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Es darf nur ein fester Sarg verwendet werden, der so abgedichtet ist, dass bis zur Beisetzung keine Feuchtigkeit durchsickert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Weder Sarg, Innenausstattung, Kleidung oder Umh</w:t>
      </w:r>
      <w:r>
        <w:rPr>
          <w:rtl w:val="0"/>
        </w:rPr>
        <w:t>ü</w:t>
      </w:r>
      <w:r>
        <w:rPr>
          <w:rtl w:val="0"/>
        </w:rPr>
        <w:t>llung d</w:t>
      </w:r>
      <w:r>
        <w:rPr>
          <w:rtl w:val="0"/>
        </w:rPr>
        <w:t>ü</w:t>
      </w:r>
      <w:r>
        <w:rPr>
          <w:rtl w:val="0"/>
        </w:rPr>
        <w:t>rfen aus schwer verg</w:t>
      </w:r>
      <w:r>
        <w:rPr>
          <w:rtl w:val="0"/>
        </w:rPr>
        <w:t>ä</w:t>
      </w:r>
      <w:r>
        <w:rPr>
          <w:rtl w:val="0"/>
        </w:rPr>
        <w:t>nglichen Stoffen sein</w:t>
      </w:r>
    </w:p>
    <w:p>
      <w:pPr>
        <w:pStyle w:val="Text"/>
        <w:bidi w:val="0"/>
      </w:pPr>
      <w:r>
        <w:rPr>
          <w:rtl w:val="0"/>
        </w:rPr>
        <w:t>Beschaffenheit der S</w:t>
      </w:r>
      <w:r>
        <w:rPr>
          <w:rtl w:val="0"/>
        </w:rPr>
        <w:t>ä</w:t>
      </w:r>
      <w:r>
        <w:rPr>
          <w:rtl w:val="0"/>
        </w:rPr>
        <w:t>rge bei Feierbestattung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aus d</w:t>
      </w:r>
      <w:r>
        <w:rPr>
          <w:rtl w:val="0"/>
        </w:rPr>
        <w:t>ü</w:t>
      </w:r>
      <w:r>
        <w:rPr>
          <w:rtl w:val="0"/>
        </w:rPr>
        <w:t>nnem Holz oder Zinkblech (oder anderes gleichwertig anerkanntes Material)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Sarg muss frei von unverbrennbarer Verzierung (Beschl</w:t>
      </w:r>
      <w:r>
        <w:rPr>
          <w:rtl w:val="0"/>
        </w:rPr>
        <w:t>ä</w:t>
      </w:r>
      <w:r>
        <w:rPr>
          <w:rtl w:val="0"/>
        </w:rPr>
        <w:t xml:space="preserve">ge, Griffe </w:t>
      </w:r>
      <w:r>
        <w:rPr>
          <w:rtl w:val="0"/>
        </w:rPr>
        <w:t>…</w:t>
      </w:r>
      <w:r>
        <w:rPr>
          <w:rtl w:val="0"/>
        </w:rPr>
        <w:t>) sein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Weder Leichenhallen noch die R</w:t>
      </w:r>
      <w:r>
        <w:rPr>
          <w:rtl w:val="0"/>
        </w:rPr>
        <w:t>ä</w:t>
      </w:r>
      <w:r>
        <w:rPr>
          <w:rtl w:val="0"/>
        </w:rPr>
        <w:t>ume, die der rituellen Waschung dienen d</w:t>
      </w:r>
      <w:r>
        <w:rPr>
          <w:rtl w:val="0"/>
        </w:rPr>
        <w:t>ü</w:t>
      </w:r>
      <w:r>
        <w:rPr>
          <w:rtl w:val="0"/>
        </w:rPr>
        <w:t>rfen mit Wohnr</w:t>
      </w:r>
      <w:r>
        <w:rPr>
          <w:rtl w:val="0"/>
        </w:rPr>
        <w:t>ä</w:t>
      </w:r>
      <w:r>
        <w:rPr>
          <w:rtl w:val="0"/>
        </w:rPr>
        <w:t xml:space="preserve">umen </w:t>
      </w:r>
      <w:r>
        <w:rPr>
          <w:rtl w:val="0"/>
        </w:rPr>
        <w:t>ü</w:t>
      </w:r>
      <w:r>
        <w:rPr>
          <w:rtl w:val="0"/>
        </w:rPr>
        <w:t>berbaut sein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Aush</w:t>
      </w:r>
      <w:r>
        <w:rPr>
          <w:rtl w:val="0"/>
        </w:rPr>
        <w:t>ä</w:t>
      </w:r>
      <w:r>
        <w:rPr>
          <w:rtl w:val="0"/>
        </w:rPr>
        <w:t>ndigung einer Urne an Angeh</w:t>
      </w:r>
      <w:r>
        <w:rPr>
          <w:rtl w:val="0"/>
        </w:rPr>
        <w:t>ö</w:t>
      </w:r>
      <w:r>
        <w:rPr>
          <w:rtl w:val="0"/>
        </w:rPr>
        <w:t>rige nur dann, wenn sie eine Genehmigung der zust</w:t>
      </w:r>
      <w:r>
        <w:rPr>
          <w:rtl w:val="0"/>
        </w:rPr>
        <w:t>ä</w:t>
      </w:r>
      <w:r>
        <w:rPr>
          <w:rtl w:val="0"/>
        </w:rPr>
        <w:t>ndigen Beh</w:t>
      </w:r>
      <w:r>
        <w:rPr>
          <w:rtl w:val="0"/>
        </w:rPr>
        <w:t>ö</w:t>
      </w:r>
      <w:r>
        <w:rPr>
          <w:rtl w:val="0"/>
        </w:rPr>
        <w:t>rde haben,, dass die Asche au</w:t>
      </w:r>
      <w:r>
        <w:rPr>
          <w:rtl w:val="0"/>
        </w:rPr>
        <w:t>ß</w:t>
      </w:r>
      <w:r>
        <w:rPr>
          <w:rtl w:val="0"/>
        </w:rPr>
        <w:t>erhalb eines Friedhofs beigesetzt werden darf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ich"/>
  </w:abstractNum>
  <w:abstractNum w:abstractNumId="1">
    <w:multiLevelType w:val="hybridMultilevel"/>
    <w:styleLink w:val="Stric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Strich">
    <w:name w:val="Stric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